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40D" w:rsidRPr="005E6528" w:rsidRDefault="0063040D" w:rsidP="00F9133E">
      <w:pPr>
        <w:pBdr>
          <w:top w:val="single" w:sz="4" w:space="1" w:color="auto"/>
          <w:bottom w:val="single" w:sz="4" w:space="1" w:color="auto"/>
        </w:pBdr>
        <w:shd w:val="clear" w:color="auto" w:fill="D9D9D9" w:themeFill="background1" w:themeFillShade="D9"/>
        <w:spacing w:before="120" w:after="120"/>
        <w:jc w:val="both"/>
        <w:rPr>
          <w:rFonts w:ascii="Arial Black" w:hAnsi="Arial Black" w:cs="Arial"/>
          <w:b/>
          <w:sz w:val="32"/>
          <w:szCs w:val="32"/>
        </w:rPr>
      </w:pPr>
      <w:r w:rsidRPr="005E6528">
        <w:rPr>
          <w:rFonts w:ascii="Arial Black" w:hAnsi="Arial Black" w:cs="Arial"/>
          <w:b/>
          <w:sz w:val="32"/>
          <w:szCs w:val="32"/>
        </w:rPr>
        <w:t>1. Os Dentes: Constituição e Função</w:t>
      </w:r>
    </w:p>
    <w:p w:rsidR="009D3FA2" w:rsidRDefault="0063040D" w:rsidP="00F9133E">
      <w:pPr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 dentes são órgãos de consistência dura que se encontram no interior da boca, implantados em dois ossos da face – o maxilar superior e a mandíbula, ou maxilar inferior.</w:t>
      </w:r>
    </w:p>
    <w:p w:rsidR="00DB1E81" w:rsidRDefault="00DB1E81" w:rsidP="00F9133E">
      <w:pPr>
        <w:spacing w:before="120" w:after="120"/>
        <w:ind w:firstLine="708"/>
        <w:jc w:val="both"/>
        <w:rPr>
          <w:rFonts w:ascii="Arial" w:hAnsi="Arial" w:cs="Arial"/>
          <w:color w:val="548DD4" w:themeColor="text2" w:themeTint="99"/>
          <w:sz w:val="24"/>
          <w:szCs w:val="24"/>
        </w:rPr>
        <w:sectPr w:rsidR="00DB1E81" w:rsidSect="009D3FA2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63040D" w:rsidRPr="005E6528" w:rsidRDefault="0063040D" w:rsidP="00F9133E">
      <w:pPr>
        <w:spacing w:before="120" w:after="120"/>
        <w:ind w:firstLine="708"/>
        <w:jc w:val="both"/>
        <w:rPr>
          <w:rFonts w:ascii="Arial" w:hAnsi="Arial" w:cs="Arial"/>
          <w:color w:val="548DD4" w:themeColor="text2" w:themeTint="99"/>
          <w:sz w:val="24"/>
          <w:szCs w:val="24"/>
        </w:rPr>
      </w:pPr>
      <w:r w:rsidRPr="005E6528">
        <w:rPr>
          <w:rFonts w:ascii="Arial" w:hAnsi="Arial" w:cs="Arial"/>
          <w:color w:val="548DD4" w:themeColor="text2" w:themeTint="99"/>
          <w:sz w:val="24"/>
          <w:szCs w:val="24"/>
        </w:rPr>
        <w:lastRenderedPageBreak/>
        <w:t>A dentadura é composta por diferentes formas de dentes e co</w:t>
      </w:r>
      <w:r w:rsidR="00F9133E">
        <w:rPr>
          <w:rFonts w:ascii="Arial" w:hAnsi="Arial" w:cs="Arial"/>
          <w:color w:val="548DD4" w:themeColor="text2" w:themeTint="99"/>
          <w:sz w:val="24"/>
          <w:szCs w:val="24"/>
        </w:rPr>
        <w:t xml:space="preserve">nsequentemente cada qual tem </w:t>
      </w:r>
      <w:proofErr w:type="gramStart"/>
      <w:r w:rsidR="00F9133E">
        <w:rPr>
          <w:rFonts w:ascii="Arial" w:hAnsi="Arial" w:cs="Arial"/>
          <w:color w:val="548DD4" w:themeColor="text2" w:themeTint="99"/>
          <w:sz w:val="24"/>
          <w:szCs w:val="24"/>
        </w:rPr>
        <w:t xml:space="preserve">um </w:t>
      </w:r>
      <w:r w:rsidRPr="005E6528">
        <w:rPr>
          <w:rFonts w:ascii="Arial" w:hAnsi="Arial" w:cs="Arial"/>
          <w:color w:val="548DD4" w:themeColor="text2" w:themeTint="99"/>
          <w:sz w:val="24"/>
          <w:szCs w:val="24"/>
        </w:rPr>
        <w:t>função</w:t>
      </w:r>
      <w:proofErr w:type="gramEnd"/>
      <w:r w:rsidRPr="005E6528">
        <w:rPr>
          <w:rFonts w:ascii="Arial" w:hAnsi="Arial" w:cs="Arial"/>
          <w:color w:val="548DD4" w:themeColor="text2" w:themeTint="99"/>
          <w:sz w:val="24"/>
          <w:szCs w:val="24"/>
        </w:rPr>
        <w:t xml:space="preserve"> específica na mastigação. Os incisivos são usados para morder; os caninos servem para cortar ou rasgar; os </w:t>
      </w:r>
      <w:r w:rsidRPr="005E6528">
        <w:rPr>
          <w:rFonts w:ascii="Arial" w:hAnsi="Arial" w:cs="Arial"/>
          <w:color w:val="548DD4" w:themeColor="text2" w:themeTint="99"/>
          <w:sz w:val="24"/>
          <w:szCs w:val="24"/>
        </w:rPr>
        <w:lastRenderedPageBreak/>
        <w:t>pré-molares e os molares são especiais para triturar os alimentos.</w:t>
      </w:r>
    </w:p>
    <w:p w:rsidR="0063040D" w:rsidRDefault="0063040D" w:rsidP="00F9133E">
      <w:pPr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 </w:t>
      </w:r>
      <w:r w:rsidR="00296219">
        <w:rPr>
          <w:rFonts w:ascii="Arial" w:hAnsi="Arial" w:cs="Arial"/>
          <w:sz w:val="24"/>
          <w:szCs w:val="24"/>
        </w:rPr>
        <w:t>além de intervir</w:t>
      </w:r>
      <w:r>
        <w:rPr>
          <w:rFonts w:ascii="Arial" w:hAnsi="Arial" w:cs="Arial"/>
          <w:sz w:val="24"/>
          <w:szCs w:val="24"/>
        </w:rPr>
        <w:t>em</w:t>
      </w:r>
      <w:r w:rsidR="00296219">
        <w:rPr>
          <w:rFonts w:ascii="Arial" w:hAnsi="Arial" w:cs="Arial"/>
          <w:sz w:val="24"/>
          <w:szCs w:val="24"/>
        </w:rPr>
        <w:t xml:space="preserve"> na mastigação, os dentes desempenham também uma função na capacidade de fala.</w:t>
      </w:r>
    </w:p>
    <w:p w:rsidR="00DB1E81" w:rsidRDefault="00DB1E81" w:rsidP="00F9133E">
      <w:pPr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  <w:sectPr w:rsidR="00DB1E81" w:rsidSect="007D4953">
          <w:type w:val="continuous"/>
          <w:pgSz w:w="11906" w:h="16838"/>
          <w:pgMar w:top="1417" w:right="1701" w:bottom="1417" w:left="1701" w:header="708" w:footer="708" w:gutter="0"/>
          <w:cols w:num="2" w:sep="1" w:space="708"/>
          <w:docGrid w:linePitch="360"/>
        </w:sectPr>
      </w:pPr>
    </w:p>
    <w:p w:rsidR="00296219" w:rsidRDefault="00296219" w:rsidP="00F9133E">
      <w:pPr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Embora variam na forma, todos os dentes têm a mesma estrutura interna.</w:t>
      </w:r>
    </w:p>
    <w:p w:rsidR="00296219" w:rsidRPr="00F9133E" w:rsidRDefault="00296219" w:rsidP="00F9133E">
      <w:pPr>
        <w:spacing w:before="120" w:after="120"/>
        <w:ind w:left="113" w:firstLine="709"/>
        <w:jc w:val="both"/>
        <w:rPr>
          <w:rFonts w:ascii="Arial" w:hAnsi="Arial" w:cs="Arial"/>
          <w:b/>
          <w:sz w:val="24"/>
          <w:szCs w:val="24"/>
        </w:rPr>
      </w:pPr>
      <w:r w:rsidRPr="00F9133E">
        <w:rPr>
          <w:rFonts w:ascii="Arial" w:hAnsi="Arial" w:cs="Arial"/>
          <w:b/>
          <w:sz w:val="24"/>
          <w:szCs w:val="24"/>
        </w:rPr>
        <w:t xml:space="preserve">O esmalte é a camada mais externa e o tecido mais duro, sendo constituído por cerca de 96-98% de sais de cálcio, que recobre a coroa </w:t>
      </w:r>
      <w:r w:rsidRPr="00F9133E">
        <w:rPr>
          <w:rFonts w:ascii="Arial" w:hAnsi="Arial" w:cs="Arial"/>
          <w:b/>
          <w:sz w:val="24"/>
          <w:szCs w:val="24"/>
        </w:rPr>
        <w:lastRenderedPageBreak/>
        <w:t xml:space="preserve">dentária. A dentina, situada logo a seguir ao esmalte é mais porosa. O esmalte e a dentina sofrem uma renovação constante, rápida nos dentes decíduos e lenta nos dentes definitivos, pouco </w:t>
      </w:r>
      <w:r w:rsidRPr="00F9133E">
        <w:rPr>
          <w:rFonts w:ascii="Arial" w:hAnsi="Arial" w:cs="Arial"/>
          <w:b/>
          <w:sz w:val="24"/>
          <w:szCs w:val="24"/>
        </w:rPr>
        <w:lastRenderedPageBreak/>
        <w:t xml:space="preserve">se alterando neste </w:t>
      </w:r>
      <w:proofErr w:type="gramStart"/>
      <w:r w:rsidRPr="00F9133E">
        <w:rPr>
          <w:rFonts w:ascii="Arial" w:hAnsi="Arial" w:cs="Arial"/>
          <w:b/>
          <w:sz w:val="24"/>
          <w:szCs w:val="24"/>
        </w:rPr>
        <w:t>últimos</w:t>
      </w:r>
      <w:proofErr w:type="gramEnd"/>
      <w:r w:rsidRPr="00F9133E">
        <w:rPr>
          <w:rFonts w:ascii="Arial" w:hAnsi="Arial" w:cs="Arial"/>
          <w:b/>
          <w:sz w:val="24"/>
          <w:szCs w:val="24"/>
        </w:rPr>
        <w:t xml:space="preserve"> a sua estrutura. Na parte central do dente encontra-se a polpa dentária, constituída por matéria orgânica não calcificada que contém os vasos sanguíneos e os nervos.</w:t>
      </w:r>
    </w:p>
    <w:p w:rsidR="00DB1E81" w:rsidRDefault="00DB1E81" w:rsidP="00F9133E">
      <w:pPr>
        <w:spacing w:before="120" w:after="120"/>
        <w:ind w:left="113" w:firstLine="709"/>
        <w:jc w:val="both"/>
        <w:rPr>
          <w:rFonts w:ascii="Arial" w:hAnsi="Arial" w:cs="Arial"/>
          <w:sz w:val="24"/>
          <w:szCs w:val="24"/>
        </w:rPr>
        <w:sectPr w:rsidR="00DB1E81" w:rsidSect="007D4953">
          <w:type w:val="continuous"/>
          <w:pgSz w:w="11906" w:h="16838"/>
          <w:pgMar w:top="1417" w:right="1701" w:bottom="1417" w:left="1701" w:header="708" w:footer="708" w:gutter="0"/>
          <w:cols w:num="3" w:sep="1" w:space="708"/>
          <w:docGrid w:linePitch="360"/>
        </w:sectPr>
      </w:pPr>
    </w:p>
    <w:p w:rsidR="005D327E" w:rsidRDefault="00296219" w:rsidP="00F9133E">
      <w:pPr>
        <w:spacing w:before="120" w:after="120"/>
        <w:ind w:left="113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O </w:t>
      </w:r>
      <w:r w:rsidR="005D327E">
        <w:rPr>
          <w:rFonts w:ascii="Arial" w:hAnsi="Arial" w:cs="Arial"/>
          <w:sz w:val="24"/>
          <w:szCs w:val="24"/>
        </w:rPr>
        <w:t xml:space="preserve">esmalte, a </w:t>
      </w:r>
      <w:proofErr w:type="spellStart"/>
      <w:r w:rsidR="005D327E">
        <w:rPr>
          <w:rFonts w:ascii="Arial" w:hAnsi="Arial" w:cs="Arial"/>
          <w:sz w:val="24"/>
          <w:szCs w:val="24"/>
        </w:rPr>
        <w:t>dentina</w:t>
      </w:r>
      <w:proofErr w:type="spellEnd"/>
      <w:r w:rsidR="005D327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 o cimento dentário são tecidos calcificados</w:t>
      </w:r>
      <w:r w:rsidR="005D327E">
        <w:rPr>
          <w:rFonts w:ascii="Arial" w:hAnsi="Arial" w:cs="Arial"/>
          <w:sz w:val="24"/>
          <w:szCs w:val="24"/>
        </w:rPr>
        <w:t xml:space="preserve"> contendo matéria orgânica e </w:t>
      </w:r>
      <w:r w:rsidR="005D327E">
        <w:rPr>
          <w:rFonts w:ascii="Arial" w:hAnsi="Arial" w:cs="Arial"/>
          <w:sz w:val="24"/>
          <w:szCs w:val="24"/>
        </w:rPr>
        <w:lastRenderedPageBreak/>
        <w:t>inorgânica. A calcificação das estruturas dentárias inicia-se durante a vida intra-uterina e completa-se por volta dos 8 anos de idade (com a excepção do terceiro molar). Durante estes primeiros anos, a dieta alimentar deve fornecer quantidades adequadas.</w:t>
      </w:r>
    </w:p>
    <w:p w:rsidR="007D4953" w:rsidRDefault="007D4953" w:rsidP="00DB1E81">
      <w:pPr>
        <w:pBdr>
          <w:top w:val="single" w:sz="4" w:space="1" w:color="auto"/>
          <w:bottom w:val="single" w:sz="4" w:space="3" w:color="auto"/>
        </w:pBdr>
        <w:shd w:val="pct10" w:color="auto" w:fill="auto"/>
        <w:spacing w:before="120" w:after="120"/>
        <w:ind w:left="113" w:firstLine="709"/>
        <w:jc w:val="both"/>
        <w:rPr>
          <w:rFonts w:ascii="Arial Black" w:hAnsi="Arial Black" w:cs="Arial"/>
          <w:b/>
          <w:sz w:val="32"/>
          <w:szCs w:val="32"/>
        </w:rPr>
        <w:sectPr w:rsidR="007D4953" w:rsidSect="007D4953">
          <w:type w:val="continuous"/>
          <w:pgSz w:w="11906" w:h="16838"/>
          <w:pgMar w:top="1417" w:right="1701" w:bottom="1417" w:left="1701" w:header="708" w:footer="708" w:gutter="0"/>
          <w:cols w:num="2" w:sep="1" w:space="708" w:equalWidth="0">
            <w:col w:w="2362" w:space="708"/>
            <w:col w:w="5432"/>
          </w:cols>
          <w:docGrid w:linePitch="360"/>
        </w:sectPr>
      </w:pPr>
    </w:p>
    <w:p w:rsidR="005D327E" w:rsidRPr="005E6528" w:rsidRDefault="005D327E" w:rsidP="00DB1E81">
      <w:pPr>
        <w:pBdr>
          <w:top w:val="single" w:sz="4" w:space="1" w:color="auto"/>
          <w:bottom w:val="single" w:sz="4" w:space="3" w:color="auto"/>
        </w:pBdr>
        <w:shd w:val="pct10" w:color="auto" w:fill="auto"/>
        <w:spacing w:before="120" w:after="120"/>
        <w:ind w:left="113" w:firstLine="709"/>
        <w:jc w:val="both"/>
        <w:rPr>
          <w:rFonts w:ascii="Arial Black" w:hAnsi="Arial Black" w:cs="Arial"/>
          <w:b/>
          <w:sz w:val="32"/>
          <w:szCs w:val="32"/>
        </w:rPr>
      </w:pPr>
      <w:r w:rsidRPr="005E6528">
        <w:rPr>
          <w:rFonts w:ascii="Arial Black" w:hAnsi="Arial Black" w:cs="Arial"/>
          <w:b/>
          <w:sz w:val="32"/>
          <w:szCs w:val="32"/>
        </w:rPr>
        <w:lastRenderedPageBreak/>
        <w:t>2. Movimentos dentários Eruptivos</w:t>
      </w:r>
    </w:p>
    <w:p w:rsidR="007D4953" w:rsidRDefault="007D4953" w:rsidP="00F9133E">
      <w:pPr>
        <w:spacing w:before="120" w:after="120"/>
        <w:ind w:left="113" w:firstLine="709"/>
        <w:jc w:val="both"/>
        <w:rPr>
          <w:rFonts w:ascii="Arial" w:hAnsi="Arial" w:cs="Arial"/>
          <w:sz w:val="24"/>
          <w:szCs w:val="24"/>
        </w:rPr>
        <w:sectPr w:rsidR="007D4953" w:rsidSect="00DB1E81">
          <w:type w:val="continuous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5D327E" w:rsidRDefault="005D327E" w:rsidP="00F9133E">
      <w:pPr>
        <w:spacing w:before="120" w:after="120"/>
        <w:ind w:left="113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Na fase do movimento eruptivo do dente, este desloca-se da posição intra-óssea dos maxilares para a sua posição funcional de oclusão.</w:t>
      </w:r>
      <w:r w:rsidR="005E6528">
        <w:rPr>
          <w:rFonts w:ascii="Arial" w:hAnsi="Arial" w:cs="Arial"/>
          <w:sz w:val="24"/>
          <w:szCs w:val="24"/>
        </w:rPr>
        <w:t xml:space="preserve"> Os dentes rompem as gengivas e fixam-se no seu alvéolo, que é a cavidade óssea dos maxilares onde os dentes estão implantados (V.A., 1993).</w:t>
      </w:r>
    </w:p>
    <w:p w:rsidR="007D4953" w:rsidRDefault="005E6528" w:rsidP="00F9133E">
      <w:pPr>
        <w:spacing w:before="120" w:after="120"/>
        <w:ind w:left="113" w:firstLine="709"/>
        <w:jc w:val="both"/>
        <w:rPr>
          <w:rFonts w:ascii="Arial" w:hAnsi="Arial" w:cs="Arial"/>
          <w:sz w:val="24"/>
          <w:szCs w:val="24"/>
        </w:rPr>
        <w:sectPr w:rsidR="007D4953" w:rsidSect="007D4953">
          <w:type w:val="continuous"/>
          <w:pgSz w:w="11906" w:h="16838"/>
          <w:pgMar w:top="1417" w:right="1701" w:bottom="1417" w:left="1701" w:header="708" w:footer="708" w:gutter="0"/>
          <w:cols w:num="2" w:space="708" w:equalWidth="0">
            <w:col w:w="5432" w:space="708"/>
            <w:col w:w="2362"/>
          </w:cols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Como já dissemos, os movimentos de erupção dentária provocam irritabilidade no bebé </w:t>
      </w:r>
      <w:r>
        <w:rPr>
          <w:rFonts w:ascii="Arial" w:hAnsi="Arial" w:cs="Arial"/>
          <w:sz w:val="24"/>
          <w:szCs w:val="24"/>
        </w:rPr>
        <w:lastRenderedPageBreak/>
        <w:t xml:space="preserve">devido aos sintomas da erupção. Antes de um dente romper, a gengiva pode tornar-se vermelha e inchada. Aquando da erupção dos molares, as bochechas do lado afectado podem ficar </w:t>
      </w:r>
      <w:r>
        <w:rPr>
          <w:rFonts w:ascii="Arial" w:hAnsi="Arial" w:cs="Arial"/>
          <w:sz w:val="24"/>
          <w:szCs w:val="24"/>
        </w:rPr>
        <w:lastRenderedPageBreak/>
        <w:t xml:space="preserve">quentes e inchadas. </w:t>
      </w:r>
      <w:proofErr w:type="gramStart"/>
      <w:r>
        <w:rPr>
          <w:rFonts w:ascii="Arial" w:hAnsi="Arial" w:cs="Arial"/>
          <w:sz w:val="24"/>
          <w:szCs w:val="24"/>
        </w:rPr>
        <w:t>qualquer</w:t>
      </w:r>
      <w:proofErr w:type="gramEnd"/>
      <w:r>
        <w:rPr>
          <w:rFonts w:ascii="Arial" w:hAnsi="Arial" w:cs="Arial"/>
          <w:sz w:val="24"/>
          <w:szCs w:val="24"/>
        </w:rPr>
        <w:t xml:space="preserve"> sintoma para além destes não deve ser considerado como </w:t>
      </w:r>
    </w:p>
    <w:p w:rsidR="005E6528" w:rsidRPr="005D327E" w:rsidRDefault="005E6528" w:rsidP="00F9133E">
      <w:pPr>
        <w:spacing w:before="120" w:after="120"/>
        <w:ind w:left="113"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lastRenderedPageBreak/>
        <w:t>consequência</w:t>
      </w:r>
      <w:proofErr w:type="gramEnd"/>
      <w:r>
        <w:rPr>
          <w:rFonts w:ascii="Arial" w:hAnsi="Arial" w:cs="Arial"/>
          <w:sz w:val="24"/>
          <w:szCs w:val="24"/>
        </w:rPr>
        <w:t xml:space="preserve"> da erupção, pelo que não se pode negligenciar a saúde do bebé quando tem febre, vómitos ou mesmo perda de apetite (V.A., 1993).</w:t>
      </w:r>
    </w:p>
    <w:sectPr w:rsidR="005E6528" w:rsidRPr="005D327E" w:rsidSect="007D4953">
      <w:type w:val="continuous"/>
      <w:pgSz w:w="11906" w:h="16838"/>
      <w:pgMar w:top="1417" w:right="1701" w:bottom="1417" w:left="1701" w:header="708" w:footer="708" w:gutter="0"/>
      <w:cols w:num="2" w:space="708" w:equalWidth="0">
        <w:col w:w="5432" w:space="708"/>
        <w:col w:w="2362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26DBA"/>
    <w:multiLevelType w:val="hybridMultilevel"/>
    <w:tmpl w:val="861E8E7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3040D"/>
    <w:rsid w:val="00296219"/>
    <w:rsid w:val="005D327E"/>
    <w:rsid w:val="005E6528"/>
    <w:rsid w:val="0063040D"/>
    <w:rsid w:val="007D4953"/>
    <w:rsid w:val="009D3FA2"/>
    <w:rsid w:val="00DB1E81"/>
    <w:rsid w:val="00F91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FA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304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362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CARREIRA</dc:creator>
  <cp:keywords/>
  <dc:description/>
  <cp:lastModifiedBy>PAULO CARREIRA</cp:lastModifiedBy>
  <cp:revision>2</cp:revision>
  <dcterms:created xsi:type="dcterms:W3CDTF">2009-10-09T14:30:00Z</dcterms:created>
  <dcterms:modified xsi:type="dcterms:W3CDTF">2009-10-09T15:43:00Z</dcterms:modified>
</cp:coreProperties>
</file>